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64" w:rsidRDefault="002A55A2">
      <w:pPr>
        <w:pStyle w:val="Standard"/>
        <w:jc w:val="center"/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Инсталляция </w:t>
      </w:r>
      <w:r>
        <w:rPr>
          <w:b/>
          <w:bCs/>
          <w:sz w:val="28"/>
          <w:szCs w:val="28"/>
          <w:lang w:val="en-US"/>
        </w:rPr>
        <w:t xml:space="preserve">Oracle XE </w:t>
      </w:r>
      <w:r>
        <w:rPr>
          <w:b/>
          <w:bCs/>
          <w:sz w:val="28"/>
          <w:szCs w:val="28"/>
        </w:rPr>
        <w:t>и службы синхронизации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Процесс установки стартует путем запуска исполняемого файла — MFKlient.exe. Запускается окно приветствия, рис.1.</w:t>
      </w:r>
    </w:p>
    <w:p w:rsidR="008D5F64" w:rsidRDefault="002A55A2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24163" cy="3400562"/>
            <wp:effectExtent l="0" t="0" r="0" b="9388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163" cy="3400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Рис. 1. Окно </w:t>
      </w:r>
      <w:r>
        <w:t>приветствия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Жмем кнопку «Далее» и переходим к окну лицензионного соглашения, рис.2.</w:t>
      </w:r>
    </w:p>
    <w:p w:rsidR="008D5F64" w:rsidRDefault="002A55A2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24163" cy="3400562"/>
            <wp:effectExtent l="0" t="0" r="0" b="9388"/>
            <wp:wrapTopAndBottom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163" cy="3400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Рис.2. Окно лицензионного соглашения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Данное окно ознакамливает с лицензионным соглашением программного продукта. Если Вы со всем согласны выбираете пункт «Я согласен»,</w:t>
      </w:r>
      <w:r>
        <w:t xml:space="preserve"> соответственно станет активной кнопка «Далее». Нажав её переходим к окну содержащему имя пользователя данного компьютера и имя компьютера, рис 3.</w:t>
      </w:r>
    </w:p>
    <w:p w:rsidR="008D5F64" w:rsidRDefault="002A55A2">
      <w:pPr>
        <w:pStyle w:val="Standard"/>
        <w:jc w:val="center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24163" cy="3400562"/>
            <wp:effectExtent l="0" t="0" r="0" b="9388"/>
            <wp:wrapTopAndBottom/>
            <wp:docPr id="3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163" cy="3400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Рис.3. Имя пользователя, организация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Жмем кнопу «Далее» и переходим к окну выбора типа инсталляции, рис4.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«Типичная» - устанавливается типовый набор компонент.</w:t>
      </w:r>
    </w:p>
    <w:p w:rsidR="008D5F64" w:rsidRDefault="002A55A2">
      <w:pPr>
        <w:pStyle w:val="Standard"/>
      </w:pPr>
      <w:r>
        <w:tab/>
        <w:t>«Полная»     - устанавливает весь набор компонент</w:t>
      </w:r>
    </w:p>
    <w:p w:rsidR="008D5F64" w:rsidRDefault="002A55A2">
      <w:pPr>
        <w:pStyle w:val="Standard"/>
      </w:pPr>
      <w:r>
        <w:tab/>
        <w:t>«Выборочная» - устанавливаются только выбранные компоненты</w:t>
      </w:r>
    </w:p>
    <w:p w:rsidR="008D5F64" w:rsidRDefault="008D5F64">
      <w:pPr>
        <w:pStyle w:val="Standard"/>
      </w:pPr>
    </w:p>
    <w:p w:rsidR="008D5F64" w:rsidRDefault="002A55A2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24163" cy="3400562"/>
            <wp:effectExtent l="0" t="0" r="0" b="9388"/>
            <wp:wrapTopAndBottom/>
            <wp:docPr id="4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163" cy="3400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Рис.4. Окно выбора типа установки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В нашем случае, выбираем «Выборочная» и жмем кнопку</w:t>
      </w:r>
      <w:r>
        <w:t xml:space="preserve"> «Далее». Переходим к окну Выбора компонентов установки, рис. 5.</w:t>
      </w:r>
    </w:p>
    <w:p w:rsidR="008D5F64" w:rsidRDefault="008D5F64">
      <w:pPr>
        <w:pStyle w:val="Standard"/>
      </w:pPr>
    </w:p>
    <w:p w:rsidR="008D5F64" w:rsidRDefault="002A55A2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24163" cy="3400562"/>
            <wp:effectExtent l="0" t="0" r="0" b="9388"/>
            <wp:wrapTopAndBottom/>
            <wp:docPr id="5" name="graphic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163" cy="3400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Рис.5. Окно выбора компонентов установки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 xml:space="preserve">В данном окне можно произвести выбор устанавливаемых компонент, путем проставлении галочки, напротив имени компонента. Убрав галочку, напротив </w:t>
      </w:r>
      <w:r>
        <w:t xml:space="preserve">имени компонента, компонент будет исключен из установки. Если будут одновременно выбраны пункты «Локальное место кассира </w:t>
      </w:r>
      <w:r>
        <w:rPr>
          <w:lang w:val="en-US"/>
        </w:rPr>
        <w:t xml:space="preserve">(MSDE)» </w:t>
      </w:r>
      <w:r>
        <w:t xml:space="preserve">и «Локальное место кассира </w:t>
      </w:r>
      <w:r>
        <w:rPr>
          <w:lang w:val="en-US"/>
        </w:rPr>
        <w:t xml:space="preserve">(XE)». </w:t>
      </w:r>
      <w:r>
        <w:t>При переходе на следующее окно, будет выдано сообщение, рис.6.</w:t>
      </w:r>
    </w:p>
    <w:p w:rsidR="008D5F64" w:rsidRDefault="008D5F64">
      <w:pPr>
        <w:pStyle w:val="Standard"/>
      </w:pPr>
    </w:p>
    <w:p w:rsidR="008D5F64" w:rsidRDefault="002A55A2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762283" cy="1104842"/>
            <wp:effectExtent l="0" t="0" r="0" b="58"/>
            <wp:wrapTopAndBottom/>
            <wp:docPr id="6" name="graphic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83" cy="1104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Рис. 6. Окно предупреждения </w:t>
      </w:r>
      <w:r>
        <w:t>выбора компонент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 xml:space="preserve">В нашем случае, выбираем пункты «Локальное место кассира </w:t>
      </w:r>
      <w:r>
        <w:rPr>
          <w:lang w:val="en-US"/>
        </w:rPr>
        <w:t>(XE)</w:t>
      </w:r>
      <w:r>
        <w:t>» и «Служба синхронизации с центральной БД», жмем кнопку «Далее» и попадаем в окно выбора каталогов установки компонент, рис.7.</w:t>
      </w:r>
    </w:p>
    <w:p w:rsidR="008D5F64" w:rsidRDefault="002A55A2">
      <w:pPr>
        <w:pStyle w:val="Standard"/>
      </w:pPr>
      <w:r>
        <w:rPr>
          <w:noProof/>
          <w:lang w:eastAsia="ru-RU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24163" cy="3400562"/>
            <wp:effectExtent l="0" t="0" r="0" b="9388"/>
            <wp:wrapTopAndBottom/>
            <wp:docPr id="7" name="graphic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163" cy="3400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D5F64" w:rsidRDefault="002A55A2">
      <w:pPr>
        <w:pStyle w:val="Standard"/>
        <w:jc w:val="center"/>
      </w:pPr>
      <w:r>
        <w:t>Рис.7. Окно установочных каталогов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Каталоги,</w:t>
      </w:r>
      <w:r>
        <w:t xml:space="preserve"> не выбранных для установки, компонент будут неактивны. Указываем пути установки компонент, или оставляем каталоги по-умолчанию. Если каталоги отсутствуют, то они буду автоматически созданы. Жмем кнопку «Далее», попадаем в окно размещения иконок и в меню «</w:t>
      </w:r>
      <w:r>
        <w:t>Пуск», рис.8.</w:t>
      </w:r>
    </w:p>
    <w:p w:rsidR="008D5F64" w:rsidRDefault="002A55A2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24163" cy="3400562"/>
            <wp:effectExtent l="0" t="0" r="0" b="9388"/>
            <wp:wrapTopAndBottom/>
            <wp:docPr id="8" name="graphics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163" cy="3400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Рис. 8. Иконки и меню «Пуск»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В данном окне, путем выставления галочки пункта «Поместить иконки на рабочий стол», указываем размещать, или нет, иконки программы на рабочем столе.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Пункт «Поместить в меню Программы». Указание данного пункта</w:t>
      </w:r>
      <w:r>
        <w:t>, создает раздел в меню «Программы» кнопки «Пуск». Название раздела указывается вверху списка существующих разделов. Жмем кнопку «Далее» и попадаем в окно настройки подключения к центральной базе данных, рис.9.</w:t>
      </w:r>
    </w:p>
    <w:p w:rsidR="008D5F64" w:rsidRDefault="002A55A2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24163" cy="3400562"/>
            <wp:effectExtent l="0" t="0" r="0" b="9388"/>
            <wp:wrapTopAndBottom/>
            <wp:docPr id="9" name="graphic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163" cy="3400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Рис.9. Настройки для подключения к центральн</w:t>
      </w:r>
      <w:r>
        <w:t>ой БД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Укажите настройки в соответствии в Вашей центральной базой данных. Жмем кнопку «Далее».  Следующее окно «Просмотр инсталляционных данных», содержит информацию о проделанном выборе на предыдущих окнах. Жмем кнопку «Далее», и если у Вас был выбран пу</w:t>
      </w:r>
      <w:r>
        <w:t xml:space="preserve">нкт «Локальное место кассира </w:t>
      </w:r>
      <w:r>
        <w:rPr>
          <w:lang w:val="en-US"/>
        </w:rPr>
        <w:t xml:space="preserve">(XE)», </w:t>
      </w:r>
      <w:r>
        <w:t xml:space="preserve">попадаем в окно настроек к локальной БД </w:t>
      </w:r>
      <w:r>
        <w:rPr>
          <w:lang w:val="en-US"/>
        </w:rPr>
        <w:t xml:space="preserve">Oracle, </w:t>
      </w:r>
      <w:r>
        <w:t>рис.10.</w:t>
      </w:r>
    </w:p>
    <w:p w:rsidR="008D5F64" w:rsidRDefault="008D5F64">
      <w:pPr>
        <w:pStyle w:val="Standard"/>
      </w:pPr>
    </w:p>
    <w:p w:rsidR="008D5F64" w:rsidRDefault="002A55A2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24163" cy="3400562"/>
            <wp:effectExtent l="0" t="0" r="0" b="9388"/>
            <wp:wrapTopAndBottom/>
            <wp:docPr id="10" name="graphic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163" cy="3400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Рис.10. Настройки подключения к локальной БД </w:t>
      </w:r>
      <w:r>
        <w:rPr>
          <w:lang w:val="en-US"/>
        </w:rPr>
        <w:t>Oracle</w:t>
      </w:r>
    </w:p>
    <w:p w:rsidR="008D5F64" w:rsidRDefault="008D5F64">
      <w:pPr>
        <w:pStyle w:val="Standard"/>
      </w:pP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Данное окно содержит поля:</w:t>
      </w:r>
    </w:p>
    <w:p w:rsidR="008D5F64" w:rsidRDefault="002A55A2">
      <w:pPr>
        <w:pStyle w:val="Standard"/>
      </w:pPr>
      <w:r>
        <w:tab/>
        <w:t xml:space="preserve">«Имя пользователя» - пользователь, под которым происходит подключение к БД </w:t>
      </w:r>
      <w:r>
        <w:rPr>
          <w:lang w:val="en-US"/>
        </w:rPr>
        <w:t xml:space="preserve">Oracle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>
        <w:t xml:space="preserve">и создание структуры данных/таблиц. По-умолчанию в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lang w:val="en-US"/>
        </w:rPr>
        <w:t xml:space="preserve">OracleXE </w:t>
      </w:r>
      <w:r>
        <w:t xml:space="preserve">используется пользователь </w:t>
      </w:r>
      <w:r>
        <w:rPr>
          <w:lang w:val="en-US"/>
        </w:rPr>
        <w:t>system.</w:t>
      </w:r>
    </w:p>
    <w:p w:rsidR="008D5F64" w:rsidRDefault="002A55A2">
      <w:pPr>
        <w:pStyle w:val="Standard"/>
      </w:pPr>
      <w:r>
        <w:t xml:space="preserve">            «Пароль» - пароль пользователя  БД </w:t>
      </w:r>
      <w:r>
        <w:rPr>
          <w:lang w:val="en-US"/>
        </w:rPr>
        <w:t>Oracle.</w:t>
      </w:r>
    </w:p>
    <w:p w:rsidR="008D5F64" w:rsidRDefault="002A55A2">
      <w:pPr>
        <w:pStyle w:val="Standard"/>
      </w:pPr>
      <w:r>
        <w:rPr>
          <w:lang w:val="en-US"/>
        </w:rPr>
        <w:tab/>
        <w:t xml:space="preserve">«Database» - sid </w:t>
      </w:r>
      <w:r>
        <w:t xml:space="preserve">к БД </w:t>
      </w:r>
      <w:r>
        <w:rPr>
          <w:lang w:val="en-US"/>
        </w:rPr>
        <w:t>Oracle.</w:t>
      </w:r>
    </w:p>
    <w:p w:rsidR="008D5F64" w:rsidRDefault="002A55A2">
      <w:pPr>
        <w:pStyle w:val="Standard"/>
      </w:pPr>
      <w:r>
        <w:rPr>
          <w:lang w:val="en-US"/>
        </w:rPr>
        <w:tab/>
      </w:r>
      <w:r>
        <w:t xml:space="preserve">установка галочки «Создать структуру базы </w:t>
      </w:r>
      <w:r>
        <w:t xml:space="preserve">данных» приводит к созданию структуры </w:t>
      </w:r>
      <w:r>
        <w:tab/>
        <w:t xml:space="preserve">базы данных в </w:t>
      </w:r>
      <w:r>
        <w:rPr>
          <w:lang w:val="en-US"/>
        </w:rPr>
        <w:t>Oracle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rPr>
          <w:lang w:val="en-US"/>
        </w:rPr>
        <w:tab/>
      </w:r>
      <w:r>
        <w:t>Установив нужные поля, жмем «Готово»</w:t>
      </w:r>
    </w:p>
    <w:p w:rsidR="008D5F64" w:rsidRDefault="002A55A2">
      <w:pPr>
        <w:pStyle w:val="Standard"/>
      </w:pPr>
      <w:r>
        <w:rPr>
          <w:noProof/>
          <w:lang w:eastAsia="ru-RU" w:bidi="ar-SA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1369798</wp:posOffset>
            </wp:positionH>
            <wp:positionV relativeFrom="paragraph">
              <wp:posOffset>525962</wp:posOffset>
            </wp:positionV>
            <wp:extent cx="3381478" cy="1162083"/>
            <wp:effectExtent l="0" t="0" r="9422" b="0"/>
            <wp:wrapTopAndBottom/>
            <wp:docPr id="11" name="graphic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478" cy="11620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D5F64" w:rsidRDefault="002A55A2">
      <w:pPr>
        <w:pStyle w:val="Standard"/>
      </w:pPr>
      <w:r>
        <w:tab/>
        <w:t xml:space="preserve">Будет проведена проверка  подключения к установленному </w:t>
      </w:r>
      <w:r>
        <w:rPr>
          <w:lang w:val="en-US"/>
        </w:rPr>
        <w:t xml:space="preserve">Oracle XE? </w:t>
      </w:r>
      <w:r>
        <w:t>Если программа инсталляции не смогла подключиться, будет выдано сообщение, рис.11.</w:t>
      </w:r>
    </w:p>
    <w:p w:rsidR="008D5F64" w:rsidRDefault="002A55A2">
      <w:pPr>
        <w:pStyle w:val="Standard"/>
        <w:jc w:val="center"/>
      </w:pPr>
      <w:r>
        <w:t>Рис.1</w:t>
      </w:r>
      <w:r>
        <w:t>1. Невозможно подключиться к локальной БД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 xml:space="preserve">Если Вы уверены в наличии установленного  </w:t>
      </w:r>
      <w:r>
        <w:rPr>
          <w:lang w:val="en-US"/>
        </w:rPr>
        <w:t xml:space="preserve">Oracle. </w:t>
      </w:r>
      <w:r>
        <w:t>Нажмите «</w:t>
      </w:r>
      <w:r>
        <w:rPr>
          <w:lang w:val="en-US"/>
        </w:rPr>
        <w:t>Cancel</w:t>
      </w:r>
      <w:r>
        <w:t xml:space="preserve">» проверьте работоспособность установленного </w:t>
      </w:r>
      <w:r>
        <w:rPr>
          <w:lang w:val="en-US"/>
        </w:rPr>
        <w:t>Oracle,</w:t>
      </w:r>
      <w:r>
        <w:t xml:space="preserve"> заново произведите инсталляцию </w:t>
      </w:r>
      <w:r>
        <w:rPr>
          <w:lang w:val="en-US"/>
        </w:rPr>
        <w:t xml:space="preserve">MForce. </w:t>
      </w:r>
      <w:r>
        <w:t xml:space="preserve">Если у Вас все таки нет установленного </w:t>
      </w:r>
      <w:r>
        <w:rPr>
          <w:lang w:val="en-US"/>
        </w:rPr>
        <w:t xml:space="preserve">Oracle, </w:t>
      </w:r>
      <w:r>
        <w:t>или Вы х</w:t>
      </w:r>
      <w:r>
        <w:t>отите его переустановить, жмите кнопку «</w:t>
      </w:r>
      <w:r>
        <w:rPr>
          <w:lang w:val="en-US"/>
        </w:rPr>
        <w:t>Ok</w:t>
      </w:r>
      <w:r>
        <w:t xml:space="preserve">». Запустится стандартная инсталляция </w:t>
      </w:r>
      <w:r>
        <w:rPr>
          <w:lang w:val="en-US"/>
        </w:rPr>
        <w:t xml:space="preserve">OracleXE. </w:t>
      </w:r>
      <w:r>
        <w:t xml:space="preserve">Программа установки </w:t>
      </w:r>
      <w:r>
        <w:rPr>
          <w:lang w:val="en-US"/>
        </w:rPr>
        <w:t xml:space="preserve">MForce </w:t>
      </w:r>
      <w:r>
        <w:t xml:space="preserve">дождется установки и презагрузит компьютер. После перезагрузки,  установщик </w:t>
      </w:r>
      <w:r>
        <w:rPr>
          <w:lang w:val="en-US"/>
        </w:rPr>
        <w:t xml:space="preserve">MForce </w:t>
      </w:r>
      <w:r>
        <w:t>автоматически  запустится, и будет выведено окно предста</w:t>
      </w:r>
      <w:r>
        <w:t>вленное на рис.10.</w:t>
      </w:r>
    </w:p>
    <w:p w:rsidR="008D5F64" w:rsidRDefault="002A55A2">
      <w:pPr>
        <w:pStyle w:val="Standard"/>
      </w:pPr>
      <w:r>
        <w:tab/>
        <w:t xml:space="preserve">Если имя пользователя, пароль не были изменены, жмите кнопку «Готово». Программа проверит подключение к </w:t>
      </w:r>
      <w:r>
        <w:rPr>
          <w:lang w:val="en-US"/>
        </w:rPr>
        <w:t xml:space="preserve">Oracle </w:t>
      </w:r>
      <w:r>
        <w:t>и, если подключится, запустит создание структуры БД.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>ВНИМАНИЕ!!! При перезагрузке компьютера нужно некоторое время для запус</w:t>
      </w:r>
      <w:r>
        <w:t xml:space="preserve">ка служб </w:t>
      </w:r>
      <w:r>
        <w:rPr>
          <w:lang w:val="en-US"/>
        </w:rPr>
        <w:t xml:space="preserve">Oracle. </w:t>
      </w:r>
      <w:r>
        <w:t xml:space="preserve">Соответственно, программа будет выдавать сообщения о невозможности подключения к БД. Нужно подождать некоторое время, и снова нажать кнопку «Готово». Если все таки соединение отсутствует, нужно открыть файл </w:t>
      </w:r>
      <w:r>
        <w:rPr>
          <w:lang w:val="en-US"/>
        </w:rPr>
        <w:t xml:space="preserve">tnsnames.ora </w:t>
      </w:r>
      <w:r>
        <w:t>в блокноте, и прове</w:t>
      </w:r>
      <w:r>
        <w:t>рить следующие записи:</w:t>
      </w:r>
    </w:p>
    <w:p w:rsidR="008D5F64" w:rsidRDefault="002A55A2">
      <w:pPr>
        <w:pStyle w:val="Standard"/>
      </w:pPr>
      <w:r>
        <w:t>XE =</w:t>
      </w:r>
    </w:p>
    <w:p w:rsidR="008D5F64" w:rsidRDefault="002A55A2">
      <w:pPr>
        <w:pStyle w:val="Standard"/>
      </w:pPr>
      <w:r>
        <w:t xml:space="preserve">  (DESCRIPTION =</w:t>
      </w:r>
    </w:p>
    <w:p w:rsidR="008D5F64" w:rsidRDefault="002A55A2">
      <w:pPr>
        <w:pStyle w:val="Standard"/>
      </w:pPr>
      <w:r>
        <w:t xml:space="preserve">    (ADDRESS_LIST =</w:t>
      </w:r>
    </w:p>
    <w:p w:rsidR="008D5F64" w:rsidRDefault="002A55A2">
      <w:pPr>
        <w:pStyle w:val="Standard"/>
      </w:pPr>
      <w:r>
        <w:t xml:space="preserve">      (ADDRESS = (PROTOCOL = TCP)(Host = 192.168.0.1)(Port = 1521))</w:t>
      </w:r>
    </w:p>
    <w:p w:rsidR="008D5F64" w:rsidRDefault="002A55A2">
      <w:pPr>
        <w:pStyle w:val="Standard"/>
      </w:pPr>
      <w:r>
        <w:t xml:space="preserve">    )</w:t>
      </w:r>
    </w:p>
    <w:p w:rsidR="008D5F64" w:rsidRDefault="002A55A2">
      <w:pPr>
        <w:pStyle w:val="Standard"/>
      </w:pPr>
      <w:r>
        <w:t xml:space="preserve">    (CONNECT_DATA = (SID = XE))</w:t>
      </w:r>
    </w:p>
    <w:p w:rsidR="008D5F64" w:rsidRDefault="002A55A2">
      <w:pPr>
        <w:pStyle w:val="Standard"/>
      </w:pPr>
      <w:r>
        <w:t xml:space="preserve">  )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>MAINDB =</w:t>
      </w:r>
    </w:p>
    <w:p w:rsidR="008D5F64" w:rsidRDefault="002A55A2">
      <w:pPr>
        <w:pStyle w:val="Standard"/>
      </w:pPr>
      <w:r>
        <w:t xml:space="preserve">  (DESCRIPTION =</w:t>
      </w:r>
    </w:p>
    <w:p w:rsidR="008D5F64" w:rsidRDefault="002A55A2">
      <w:pPr>
        <w:pStyle w:val="Standard"/>
      </w:pPr>
      <w:r>
        <w:t xml:space="preserve">    (ADDRESS_LIST =</w:t>
      </w:r>
    </w:p>
    <w:p w:rsidR="008D5F64" w:rsidRDefault="002A55A2">
      <w:pPr>
        <w:pStyle w:val="Standard"/>
      </w:pPr>
      <w:r>
        <w:t xml:space="preserve">      (ADDRESS = (PROTOCOL = TCP)(</w:t>
      </w:r>
      <w:r>
        <w:t>Host = SERVER)(Port = 1521))</w:t>
      </w:r>
    </w:p>
    <w:p w:rsidR="008D5F64" w:rsidRDefault="002A55A2">
      <w:pPr>
        <w:pStyle w:val="Standard"/>
      </w:pPr>
      <w:r>
        <w:t xml:space="preserve">    )</w:t>
      </w:r>
    </w:p>
    <w:p w:rsidR="008D5F64" w:rsidRDefault="002A55A2">
      <w:pPr>
        <w:pStyle w:val="Standard"/>
      </w:pPr>
      <w:r>
        <w:t xml:space="preserve">    (CONNECT_DATA = (SID = MAIN))  )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 xml:space="preserve">Обычно он находится в каталоге установки </w:t>
      </w:r>
      <w:r>
        <w:rPr>
          <w:lang w:val="en-US"/>
        </w:rPr>
        <w:t xml:space="preserve">Oracle. </w:t>
      </w:r>
      <w:r>
        <w:t>Если данных файлов у Вас несколько, - проверить их всех.</w:t>
      </w:r>
    </w:p>
    <w:p w:rsidR="008D5F64" w:rsidRDefault="008D5F64">
      <w:pPr>
        <w:pStyle w:val="Standard"/>
      </w:pP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 xml:space="preserve">Также программа установки создает табличные пространства для создаваемой </w:t>
      </w:r>
      <w:r>
        <w:t xml:space="preserve">БД. Файлы табличных пространств будут установлены в папку с БД </w:t>
      </w:r>
      <w:r>
        <w:rPr>
          <w:lang w:val="en-US"/>
        </w:rPr>
        <w:t xml:space="preserve">XE. </w:t>
      </w:r>
      <w:r>
        <w:t>По пути указанному в реестре по ключу HKEY_LOCAL_MACHINE\SOFTWARE\ORACLE\KEY_XE\ORACLE_HOME добавив у нему путь «\</w:t>
      </w:r>
      <w:r>
        <w:rPr>
          <w:lang w:val="en-US"/>
        </w:rPr>
        <w:t>Database\</w:t>
      </w:r>
      <w:r>
        <w:t>».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 xml:space="preserve">Перед созданием табличного пространства будет проверено его </w:t>
      </w:r>
      <w:r>
        <w:t>существование. Если оно будет найдено, программа предупредит о его существовании и уничтожении данных при продолжении работы. Если Вы согласны продолжить ответьте согласием. Структура БД будет создана, существующие данные будут уничтожены.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После создания</w:t>
      </w:r>
      <w:r>
        <w:t xml:space="preserve"> БД. Будет произведена установка службы синхронизации, и её регистрация в качестве службы. Автоматически бедет запущена форма настройки службы, рис. 12.</w:t>
      </w:r>
    </w:p>
    <w:p w:rsidR="008D5F64" w:rsidRDefault="002A55A2">
      <w:pPr>
        <w:pStyle w:val="Standard"/>
      </w:pPr>
      <w:r>
        <w:rPr>
          <w:noProof/>
          <w:lang w:eastAsia="ru-RU" w:bidi="ar-SA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57841" cy="3143158"/>
            <wp:effectExtent l="0" t="0" r="0" b="92"/>
            <wp:wrapTopAndBottom/>
            <wp:docPr id="12" name="graphics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841" cy="3143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D5F64" w:rsidRDefault="002A55A2">
      <w:pPr>
        <w:pStyle w:val="Standard"/>
        <w:jc w:val="center"/>
      </w:pPr>
      <w:r>
        <w:t>Рис.12. Настройка модуля синхронизации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Запуск настройки, производится путем запуска файла MFSinhSer</w:t>
      </w:r>
      <w:r>
        <w:t>vSetup.exe. Он находится по пути, который был указан при инсталляции.</w:t>
      </w:r>
    </w:p>
    <w:p w:rsidR="008D5F64" w:rsidRDefault="002A55A2">
      <w:pPr>
        <w:pStyle w:val="Standard"/>
      </w:pPr>
      <w:r>
        <w:tab/>
        <w:t>Настройка имеет две закладки</w:t>
      </w:r>
    </w:p>
    <w:p w:rsidR="008D5F64" w:rsidRDefault="002A55A2">
      <w:pPr>
        <w:pStyle w:val="Standard"/>
      </w:pPr>
      <w:r>
        <w:tab/>
        <w:t>На первой указываются данные пользователей, посредством которых происходит подключение к центральной и локальной базам данных. Задаются имена БД (те которы</w:t>
      </w:r>
      <w:r>
        <w:t xml:space="preserve">е прописаны в файле </w:t>
      </w:r>
      <w:r>
        <w:rPr>
          <w:lang w:val="en-US"/>
        </w:rPr>
        <w:t>tnsnames.ora</w:t>
      </w:r>
      <w:r>
        <w:t>), имена пользователей и их пароли. Пароли задаются путем нажатия кнопки «...» и заполнения соответствующей формы, рис.13.</w:t>
      </w:r>
    </w:p>
    <w:p w:rsidR="008D5F64" w:rsidRDefault="002A55A2">
      <w:pPr>
        <w:pStyle w:val="Standard"/>
      </w:pPr>
      <w:r>
        <w:rPr>
          <w:noProof/>
          <w:lang w:eastAsia="ru-RU" w:bidi="ar-SA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62000" cy="1619283"/>
            <wp:effectExtent l="0" t="0" r="150" b="0"/>
            <wp:wrapTopAndBottom/>
            <wp:docPr id="13" name="graphics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1619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D5F64" w:rsidRDefault="002A55A2">
      <w:pPr>
        <w:pStyle w:val="Standard"/>
        <w:jc w:val="center"/>
      </w:pPr>
      <w:r>
        <w:t>Рис. 13. Задание паролей пользователей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Вторая закладка, рис.14, задает общие настройки службы</w:t>
      </w:r>
    </w:p>
    <w:p w:rsidR="008D5F64" w:rsidRDefault="008D5F64">
      <w:pPr>
        <w:pStyle w:val="Standard"/>
      </w:pPr>
    </w:p>
    <w:p w:rsidR="008D5F64" w:rsidRDefault="002A55A2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57841" cy="3143158"/>
            <wp:effectExtent l="0" t="0" r="0" b="92"/>
            <wp:wrapTopAndBottom/>
            <wp:docPr id="14" name="graphics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841" cy="3143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Р</w:t>
      </w:r>
      <w:r>
        <w:t>ис.14. Общие настройки службы синхронизации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>Путь хранения логов службы</w:t>
      </w:r>
    </w:p>
    <w:p w:rsidR="008D5F64" w:rsidRDefault="002A55A2">
      <w:pPr>
        <w:pStyle w:val="Standard"/>
      </w:pPr>
      <w:r>
        <w:t>Время через которое срабатывает служба</w:t>
      </w:r>
    </w:p>
    <w:p w:rsidR="008D5F64" w:rsidRDefault="002A55A2">
      <w:pPr>
        <w:pStyle w:val="Standard"/>
      </w:pPr>
      <w:r>
        <w:t>Период хранения (и попытки синхронизировать) записей, которые по каким либо причинам были отвергнуты для синхронизации.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 xml:space="preserve">Перечень обрабатываемых </w:t>
      </w:r>
      <w:r>
        <w:t>таблиц. Форма составления перечня таблиц, подлежащих синхронизации, рис.15.</w:t>
      </w: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>Перечень состоиз из набора полей:</w:t>
      </w:r>
    </w:p>
    <w:p w:rsidR="008D5F64" w:rsidRDefault="002A55A2">
      <w:pPr>
        <w:pStyle w:val="Standard"/>
      </w:pPr>
      <w:r>
        <w:t>«Активно» - указывает что данный объект участвеут в синхронизации</w:t>
      </w:r>
    </w:p>
    <w:p w:rsidR="008D5F64" w:rsidRDefault="002A55A2">
      <w:pPr>
        <w:pStyle w:val="Standard"/>
      </w:pPr>
      <w:r>
        <w:t>«Объект БД» - имя таблицы</w:t>
      </w:r>
    </w:p>
    <w:p w:rsidR="008D5F64" w:rsidRDefault="002A55A2">
      <w:pPr>
        <w:pStyle w:val="Standard"/>
      </w:pPr>
      <w:r>
        <w:t xml:space="preserve">«Поле ключ» - ключевое поле, обязательно для таблиц, </w:t>
      </w:r>
      <w:r>
        <w:t xml:space="preserve">которые не очищаются после </w:t>
      </w:r>
      <w:r>
        <w:tab/>
      </w:r>
      <w:r>
        <w:tab/>
      </w:r>
      <w:r>
        <w:tab/>
        <w:t xml:space="preserve">  выгрузки в центральную БД, предотвращает появление дублей</w:t>
      </w:r>
    </w:p>
    <w:p w:rsidR="008D5F64" w:rsidRDefault="002A55A2">
      <w:pPr>
        <w:pStyle w:val="Standard"/>
      </w:pPr>
      <w:r>
        <w:t xml:space="preserve">«Генератор ключа» - обязательно если нужно генерировать </w:t>
      </w:r>
      <w:r>
        <w:rPr>
          <w:lang w:val="en-US"/>
        </w:rPr>
        <w:t xml:space="preserve">ID </w:t>
      </w:r>
      <w:r>
        <w:t>в принимаемой таблице</w:t>
      </w:r>
    </w:p>
    <w:p w:rsidR="008D5F64" w:rsidRDefault="002A55A2">
      <w:pPr>
        <w:pStyle w:val="Standard"/>
      </w:pPr>
      <w:r>
        <w:t>«Очистка объекта» - указывает, нужно ли очищать таблицу, после синхронизации</w:t>
      </w:r>
    </w:p>
    <w:p w:rsidR="008D5F64" w:rsidRDefault="002A55A2">
      <w:pPr>
        <w:pStyle w:val="Standard"/>
      </w:pPr>
      <w:r>
        <w:t>«Тип объ</w:t>
      </w:r>
      <w:r>
        <w:t>екта» - на данный момент, всегда таблица</w:t>
      </w:r>
    </w:p>
    <w:p w:rsidR="008D5F64" w:rsidRDefault="002A55A2">
      <w:pPr>
        <w:pStyle w:val="Standard"/>
      </w:pPr>
      <w:r>
        <w:t>«Напр-е синхр.» - указывает направление выгрузки/загрузки</w:t>
      </w:r>
    </w:p>
    <w:p w:rsidR="008D5F64" w:rsidRDefault="002A55A2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3533040"/>
            <wp:effectExtent l="0" t="0" r="0" b="0"/>
            <wp:wrapTopAndBottom/>
            <wp:docPr id="15" name="graphics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3533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Рис.15. Форма перечня таблиц синхронизации</w:t>
      </w:r>
    </w:p>
    <w:p w:rsidR="008D5F64" w:rsidRDefault="008D5F64">
      <w:pPr>
        <w:pStyle w:val="Standard"/>
      </w:pPr>
    </w:p>
    <w:p w:rsidR="008D5F64" w:rsidRDefault="008D5F64">
      <w:pPr>
        <w:pStyle w:val="Standard"/>
      </w:pPr>
    </w:p>
    <w:p w:rsidR="008D5F64" w:rsidRDefault="002A55A2">
      <w:pPr>
        <w:pStyle w:val="Standard"/>
      </w:pPr>
      <w:r>
        <w:tab/>
        <w:t>ВНИМАНИЕ!!! Обязательно сохраните все изменения, нажав кнопку «Сохранить».</w:t>
      </w:r>
    </w:p>
    <w:sectPr w:rsidR="008D5F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A2" w:rsidRDefault="002A55A2">
      <w:r>
        <w:separator/>
      </w:r>
    </w:p>
  </w:endnote>
  <w:endnote w:type="continuationSeparator" w:id="0">
    <w:p w:rsidR="002A55A2" w:rsidRDefault="002A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A2" w:rsidRDefault="002A55A2">
      <w:r>
        <w:rPr>
          <w:color w:val="000000"/>
        </w:rPr>
        <w:separator/>
      </w:r>
    </w:p>
  </w:footnote>
  <w:footnote w:type="continuationSeparator" w:id="0">
    <w:p w:rsidR="002A55A2" w:rsidRDefault="002A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5F64"/>
    <w:rsid w:val="002A55A2"/>
    <w:rsid w:val="008A10CF"/>
    <w:rsid w:val="008D5F64"/>
    <w:rsid w:val="00DB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2017-04-12T11:41:00Z</dcterms:created>
  <dcterms:modified xsi:type="dcterms:W3CDTF">2017-04-12T11:41:00Z</dcterms:modified>
</cp:coreProperties>
</file>